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highlight w:val="none"/>
        </w:rPr>
      </w:pPr>
      <w:r>
        <w:rPr>
          <w:highlight w:val="none"/>
        </w:rPr>
        <w:t xml:space="preserve">На основу члана </w:t>
      </w:r>
      <w:r>
        <w:rPr>
          <w:rFonts w:hint="default"/>
          <w:highlight w:val="none"/>
          <w:lang w:val="sr-Latn-BA"/>
        </w:rPr>
        <w:t>61</w:t>
      </w:r>
      <w:r>
        <w:rPr>
          <w:highlight w:val="none"/>
        </w:rPr>
        <w:t>. ст</w:t>
      </w:r>
      <w:r>
        <w:rPr>
          <w:highlight w:val="none"/>
          <w:lang w:val="sr-Cyrl-CS"/>
        </w:rPr>
        <w:t>ав</w:t>
      </w:r>
      <w:r>
        <w:rPr>
          <w:highlight w:val="none"/>
        </w:rPr>
        <w:t xml:space="preserve">. </w:t>
      </w:r>
      <w:r>
        <w:rPr>
          <w:rFonts w:hint="default"/>
          <w:highlight w:val="none"/>
          <w:lang w:val="sr-Latn-BA"/>
        </w:rPr>
        <w:t>4</w:t>
      </w:r>
      <w:r>
        <w:rPr>
          <w:highlight w:val="none"/>
        </w:rPr>
        <w:t xml:space="preserve">. Закона о спорту Републике Србије ("Сл. гласник РС", бр. </w:t>
      </w:r>
      <w:r>
        <w:rPr>
          <w:rFonts w:hint="default"/>
          <w:highlight w:val="none"/>
          <w:lang w:val="sr-Latn-BA"/>
        </w:rPr>
        <w:t>10</w:t>
      </w:r>
      <w:r>
        <w:rPr>
          <w:highlight w:val="none"/>
        </w:rPr>
        <w:t>/201</w:t>
      </w:r>
      <w:r>
        <w:rPr>
          <w:rFonts w:hint="default"/>
          <w:highlight w:val="none"/>
          <w:lang w:val="sr-Latn-BA"/>
        </w:rPr>
        <w:t>6</w:t>
      </w:r>
      <w:r>
        <w:rPr>
          <w:highlight w:val="none"/>
        </w:rPr>
        <w:t>) и  члан</w:t>
      </w:r>
      <w:r>
        <w:rPr>
          <w:highlight w:val="none"/>
          <w:lang w:val="sr-Cyrl-CS"/>
        </w:rPr>
        <w:t xml:space="preserve">а </w:t>
      </w:r>
      <w:r>
        <w:rPr>
          <w:rFonts w:hint="default"/>
          <w:highlight w:val="none"/>
          <w:lang w:val="sr-Cyrl-RS"/>
        </w:rPr>
        <w:t>26</w:t>
      </w:r>
      <w:r>
        <w:rPr>
          <w:highlight w:val="none"/>
          <w:lang w:val="sr-Cyrl-CS"/>
        </w:rPr>
        <w:t xml:space="preserve">., став. </w:t>
      </w:r>
      <w:r>
        <w:rPr>
          <w:rFonts w:hint="default"/>
          <w:highlight w:val="none"/>
          <w:lang w:val="sr-Cyrl-RS"/>
        </w:rPr>
        <w:t>3</w:t>
      </w:r>
      <w:r>
        <w:rPr>
          <w:highlight w:val="none"/>
          <w:lang w:val="sr-Cyrl-CS"/>
        </w:rPr>
        <w:t xml:space="preserve">. </w:t>
      </w:r>
      <w:r>
        <w:rPr>
          <w:highlight w:val="none"/>
        </w:rPr>
        <w:t xml:space="preserve"> Статута </w:t>
      </w:r>
      <w:r>
        <w:rPr>
          <w:highlight w:val="none"/>
          <w:lang w:val="sr-Cyrl-RS"/>
        </w:rPr>
        <w:t>Српског</w:t>
      </w:r>
      <w:r>
        <w:rPr>
          <w:rFonts w:hint="default"/>
          <w:highlight w:val="none"/>
          <w:lang w:val="sr-Cyrl-RS"/>
        </w:rPr>
        <w:t xml:space="preserve"> касачког савеза</w:t>
      </w:r>
      <w:r>
        <w:rPr>
          <w:highlight w:val="none"/>
        </w:rPr>
        <w:t xml:space="preserve">, Управни одбор </w:t>
      </w:r>
      <w:r>
        <w:rPr>
          <w:highlight w:val="none"/>
          <w:lang w:val="sr-Cyrl-RS"/>
        </w:rPr>
        <w:t>Српског</w:t>
      </w:r>
      <w:r>
        <w:rPr>
          <w:rFonts w:hint="default"/>
          <w:highlight w:val="none"/>
          <w:lang w:val="sr-Cyrl-RS"/>
        </w:rPr>
        <w:t xml:space="preserve"> касачког савеза</w:t>
      </w:r>
      <w:r>
        <w:rPr>
          <w:highlight w:val="none"/>
        </w:rPr>
        <w:t xml:space="preserve"> на седници одржаној</w:t>
      </w:r>
      <w:r>
        <w:rPr>
          <w:rFonts w:hint="default"/>
          <w:highlight w:val="none"/>
          <w:lang w:val="sr-Cyrl-RS"/>
        </w:rPr>
        <w:t xml:space="preserve"> </w:t>
      </w:r>
      <w:r>
        <w:rPr>
          <w:highlight w:val="none"/>
        </w:rPr>
        <w:t xml:space="preserve"> </w:t>
      </w:r>
      <w:r>
        <w:rPr>
          <w:rFonts w:hint="default"/>
          <w:highlight w:val="none"/>
          <w:lang w:val="sr-Latn-BA"/>
        </w:rPr>
        <w:t>20</w:t>
      </w:r>
      <w:r>
        <w:rPr>
          <w:highlight w:val="none"/>
        </w:rPr>
        <w:t>.0</w:t>
      </w:r>
      <w:r>
        <w:rPr>
          <w:rFonts w:hint="default"/>
          <w:highlight w:val="none"/>
          <w:lang w:val="sr-Latn-BA"/>
        </w:rPr>
        <w:t>4</w:t>
      </w:r>
      <w:bookmarkStart w:id="0" w:name="_GoBack"/>
      <w:bookmarkEnd w:id="0"/>
      <w:r>
        <w:rPr>
          <w:highlight w:val="none"/>
        </w:rPr>
        <w:t>.202</w:t>
      </w:r>
      <w:r>
        <w:rPr>
          <w:rFonts w:hint="default"/>
          <w:highlight w:val="none"/>
          <w:lang w:val="sr-Latn-BA"/>
        </w:rPr>
        <w:t>3</w:t>
      </w:r>
      <w:r>
        <w:rPr>
          <w:highlight w:val="none"/>
        </w:rPr>
        <w:t>.</w:t>
      </w:r>
      <w:r>
        <w:rPr>
          <w:rFonts w:hint="default"/>
          <w:highlight w:val="none"/>
          <w:lang w:val="sr-Cyrl-RS"/>
        </w:rPr>
        <w:t xml:space="preserve"> године у Србобрану</w:t>
      </w:r>
      <w:r>
        <w:rPr>
          <w:highlight w:val="none"/>
        </w:rPr>
        <w:t xml:space="preserve"> донео је </w:t>
      </w:r>
    </w:p>
    <w:p>
      <w:pPr>
        <w:pStyle w:val="23"/>
        <w:pBdr>
          <w:bottom w:val="none" w:color="auto" w:sz="0" w:space="0"/>
        </w:pBdr>
        <w:jc w:val="center"/>
        <w:outlineLvl w:val="0"/>
        <w:rPr>
          <w:rFonts w:asciiTheme="minorHAnsi" w:hAnsiTheme="minorHAnsi"/>
          <w:b/>
          <w:sz w:val="46"/>
          <w:szCs w:val="46"/>
        </w:rPr>
      </w:pPr>
      <w:r>
        <w:rPr>
          <w:rFonts w:asciiTheme="minorHAnsi" w:hAnsiTheme="minorHAnsi"/>
          <w:b/>
          <w:sz w:val="46"/>
          <w:szCs w:val="46"/>
        </w:rPr>
        <w:t>ПРАВИЛНИК</w:t>
      </w:r>
    </w:p>
    <w:p>
      <w:pPr>
        <w:pStyle w:val="23"/>
        <w:pBdr>
          <w:bottom w:val="none" w:color="auto" w:sz="0" w:space="0"/>
        </w:pBdr>
        <w:jc w:val="center"/>
        <w:rPr>
          <w:rFonts w:asciiTheme="minorHAnsi" w:hAnsiTheme="minorHAnsi"/>
          <w:b/>
          <w:sz w:val="38"/>
          <w:szCs w:val="38"/>
          <w:lang w:val="sr-Cyrl-CS"/>
        </w:rPr>
      </w:pPr>
      <w:r>
        <w:rPr>
          <w:rFonts w:asciiTheme="minorHAnsi" w:hAnsiTheme="minorHAnsi"/>
          <w:b/>
          <w:sz w:val="38"/>
          <w:szCs w:val="38"/>
          <w:lang w:val="sr-Cyrl-CS"/>
        </w:rPr>
        <w:t>О</w:t>
      </w:r>
      <w:r>
        <w:rPr>
          <w:rFonts w:asciiTheme="minorHAnsi" w:hAnsiTheme="minorHAnsi"/>
          <w:b/>
          <w:sz w:val="38"/>
          <w:szCs w:val="38"/>
        </w:rPr>
        <w:t xml:space="preserve"> ВОЂЕЊУ КЊИГЕ </w:t>
      </w:r>
      <w:r>
        <w:rPr>
          <w:rFonts w:asciiTheme="minorHAnsi" w:hAnsiTheme="minorHAnsi"/>
          <w:b/>
          <w:sz w:val="38"/>
          <w:szCs w:val="38"/>
          <w:lang w:val="sr-Cyrl-CS"/>
        </w:rPr>
        <w:t>ОДЛУКА ОРГАНА</w:t>
      </w:r>
    </w:p>
    <w:p>
      <w:pPr>
        <w:pStyle w:val="23"/>
        <w:pBdr>
          <w:bottom w:val="none" w:color="auto" w:sz="0" w:space="0"/>
        </w:pBdr>
        <w:jc w:val="center"/>
        <w:rPr>
          <w:rFonts w:asciiTheme="minorHAnsi" w:hAnsiTheme="minorHAnsi"/>
          <w:b/>
          <w:sz w:val="38"/>
          <w:szCs w:val="38"/>
          <w:lang w:val="sr-Cyrl-CS"/>
        </w:rPr>
      </w:pPr>
      <w:r>
        <w:rPr>
          <w:rFonts w:asciiTheme="minorHAnsi" w:hAnsiTheme="minorHAnsi"/>
          <w:b/>
          <w:sz w:val="38"/>
          <w:szCs w:val="38"/>
          <w:lang w:val="sr-Cyrl-RS"/>
        </w:rPr>
        <w:t>СРПСКОГ</w:t>
      </w:r>
      <w:r>
        <w:rPr>
          <w:rFonts w:hint="default" w:asciiTheme="minorHAnsi" w:hAnsiTheme="minorHAnsi"/>
          <w:b/>
          <w:sz w:val="38"/>
          <w:szCs w:val="38"/>
          <w:lang w:val="sr-Cyrl-RS"/>
        </w:rPr>
        <w:t xml:space="preserve"> КАСАЧКОГ САВЕЗА</w:t>
      </w:r>
    </w:p>
    <w:p>
      <w:pPr>
        <w:pStyle w:val="14"/>
        <w:ind w:left="0"/>
        <w:jc w:val="center"/>
        <w:rPr>
          <w:rFonts w:asciiTheme="minorHAnsi" w:hAnsiTheme="minorHAnsi"/>
          <w:sz w:val="22"/>
          <w:lang w:val="sr-Cyrl-CS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  <w:lang w:val="ru-RU"/>
        </w:rPr>
        <w:instrText xml:space="preserve"> </w:instrText>
      </w:r>
      <w:r>
        <w:rPr>
          <w:rFonts w:asciiTheme="minorHAnsi" w:hAnsiTheme="minorHAnsi"/>
          <w:sz w:val="22"/>
        </w:rPr>
        <w:instrText xml:space="preserve">AUTONUM</w:instrText>
      </w:r>
      <w:r>
        <w:rPr>
          <w:rFonts w:asciiTheme="minorHAnsi" w:hAnsiTheme="minorHAnsi"/>
          <w:sz w:val="22"/>
          <w:lang w:val="ru-RU"/>
        </w:rPr>
        <w:instrText xml:space="preserve">   </w:instrText>
      </w:r>
      <w:r>
        <w:rPr>
          <w:rFonts w:asciiTheme="minorHAnsi" w:hAnsiTheme="minorHAnsi"/>
          <w:sz w:val="22"/>
        </w:rPr>
        <w:fldChar w:fldCharType="end"/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Овим Правилником се уређује садржај и начин вођења Књиге одлука органа </w:t>
      </w:r>
      <w:r>
        <w:rPr>
          <w:lang w:val="sr-Cyrl-RS"/>
        </w:rPr>
        <w:t>Српског</w:t>
      </w:r>
      <w:r>
        <w:rPr>
          <w:rFonts w:hint="default"/>
          <w:lang w:val="sr-Cyrl-RS"/>
        </w:rPr>
        <w:t xml:space="preserve"> касачког савеза</w:t>
      </w:r>
      <w:r>
        <w:rPr>
          <w:lang w:val="sr-Cyrl-CS"/>
        </w:rPr>
        <w:t xml:space="preserve"> (у даљем тексту: Књига одлука).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2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Књига одлука је саставни део основних евиденција коју води </w:t>
      </w:r>
      <w:r>
        <w:rPr>
          <w:lang w:val="sr-Cyrl-RS"/>
        </w:rPr>
        <w:t>Српски</w:t>
      </w:r>
      <w:r>
        <w:rPr>
          <w:rFonts w:hint="default"/>
          <w:lang w:val="sr-Cyrl-RS"/>
        </w:rPr>
        <w:t xml:space="preserve"> касачки савез</w:t>
      </w:r>
      <w:r>
        <w:rPr>
          <w:lang w:val="sr-Cyrl-CS"/>
        </w:rPr>
        <w:t xml:space="preserve"> (у даљем тексту: </w:t>
      </w:r>
      <w:r>
        <w:rPr>
          <w:lang w:val="sr-Cyrl-RS"/>
        </w:rPr>
        <w:t>СКАС</w:t>
      </w:r>
      <w:r>
        <w:rPr>
          <w:lang w:val="sr-Cyrl-CS"/>
        </w:rPr>
        <w:t xml:space="preserve">). Књига чланова служи и за издавање копија одлука органа </w:t>
      </w:r>
      <w:r>
        <w:rPr>
          <w:lang w:val="sr-Cyrl-RS"/>
        </w:rPr>
        <w:t>СКАС</w:t>
      </w:r>
      <w:r>
        <w:rPr>
          <w:lang w:val="sr-Cyrl-CS"/>
        </w:rPr>
        <w:t xml:space="preserve"> члановима </w:t>
      </w:r>
      <w:r>
        <w:rPr>
          <w:lang w:val="sr-Cyrl-RS"/>
        </w:rPr>
        <w:t>СКАС</w:t>
      </w:r>
      <w:r>
        <w:rPr>
          <w:lang w:val="sr-Cyrl-CS"/>
        </w:rPr>
        <w:t xml:space="preserve">. </w:t>
      </w:r>
    </w:p>
    <w:p>
      <w:pPr>
        <w:jc w:val="both"/>
        <w:rPr>
          <w:rFonts w:ascii="Calibri" w:hAnsi="Calibri"/>
          <w:highlight w:val="none"/>
          <w:lang w:val="sr-Cyrl-CS"/>
        </w:rPr>
      </w:pPr>
      <w:r>
        <w:rPr>
          <w:rFonts w:ascii="Calibri" w:hAnsi="Calibri"/>
          <w:highlight w:val="none"/>
          <w:lang w:val="sr-Cyrl-CS"/>
        </w:rPr>
        <w:t xml:space="preserve">Књигу одлука води стручна служба </w:t>
      </w:r>
      <w:r>
        <w:rPr>
          <w:rFonts w:ascii="Calibri" w:hAnsi="Calibri"/>
          <w:highlight w:val="none"/>
          <w:lang w:val="sr-Cyrl-RS"/>
        </w:rPr>
        <w:t>СКАС</w:t>
      </w:r>
      <w:r>
        <w:rPr>
          <w:rFonts w:ascii="Calibri" w:hAnsi="Calibri"/>
          <w:highlight w:val="none"/>
          <w:lang w:val="sr-Cyrl-CS"/>
        </w:rPr>
        <w:t xml:space="preserve">, односно лице коме тај посао повери генерални секретар </w:t>
      </w:r>
      <w:r>
        <w:rPr>
          <w:rFonts w:ascii="Calibri" w:hAnsi="Calibri"/>
          <w:highlight w:val="none"/>
          <w:lang w:val="sr-Cyrl-RS"/>
        </w:rPr>
        <w:t>СКАС</w:t>
      </w:r>
      <w:r>
        <w:rPr>
          <w:rFonts w:ascii="Calibri" w:hAnsi="Calibri"/>
          <w:highlight w:val="none"/>
          <w:lang w:val="sr-Cyrl-CS"/>
        </w:rPr>
        <w:t xml:space="preserve">. </w:t>
      </w:r>
    </w:p>
    <w:p>
      <w:pPr>
        <w:pStyle w:val="14"/>
        <w:ind w:left="0"/>
        <w:jc w:val="center"/>
        <w:outlineLvl w:val="0"/>
        <w:rPr>
          <w:rFonts w:asciiTheme="minorHAnsi" w:hAnsiTheme="minorHAnsi"/>
          <w:sz w:val="22"/>
          <w:lang w:val="sr-Cyrl-CS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3</w:t>
      </w:r>
    </w:p>
    <w:p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У Књигу одлука уписују се све одлуке органа управљања </w:t>
      </w:r>
      <w:r>
        <w:rPr>
          <w:rFonts w:ascii="Calibri" w:hAnsi="Calibri"/>
          <w:lang w:val="sr-Cyrl-RS"/>
        </w:rPr>
        <w:t>СКАС</w:t>
      </w:r>
      <w:r>
        <w:rPr>
          <w:rFonts w:hint="default" w:ascii="Calibri" w:hAnsi="Calibri"/>
          <w:lang w:val="sr-Cyrl-RS"/>
        </w:rPr>
        <w:t xml:space="preserve"> </w:t>
      </w:r>
      <w:r>
        <w:rPr>
          <w:rFonts w:ascii="Calibri" w:hAnsi="Calibri"/>
          <w:lang w:val="sr-Cyrl-CS"/>
        </w:rPr>
        <w:t xml:space="preserve">који су конституисани у складу са Статутом </w:t>
      </w:r>
      <w:r>
        <w:rPr>
          <w:rFonts w:ascii="Calibri" w:hAnsi="Calibri"/>
          <w:lang w:val="sr-Cyrl-RS"/>
        </w:rPr>
        <w:t>СКАС</w:t>
      </w:r>
      <w:r>
        <w:rPr>
          <w:rFonts w:ascii="Calibri" w:hAnsi="Calibri"/>
          <w:lang w:val="sr-Cyrl-CS"/>
        </w:rPr>
        <w:t>. У Књигу одлука се уписују и све измене и допуне одлука, њихово укидање, као и утврђивање, односно констатација њихове ништавости.</w:t>
      </w:r>
    </w:p>
    <w:p>
      <w:pPr>
        <w:jc w:val="both"/>
        <w:rPr>
          <w:lang w:val="sr-Cyrl-CS"/>
        </w:rPr>
      </w:pPr>
      <w:r>
        <w:rPr>
          <w:rFonts w:ascii="Calibri" w:hAnsi="Calibri"/>
          <w:lang w:val="sr-Cyrl-CS"/>
        </w:rPr>
        <w:t xml:space="preserve">Одлуке колективних органа управљања </w:t>
      </w:r>
      <w:r>
        <w:rPr>
          <w:rFonts w:ascii="Calibri" w:hAnsi="Calibri"/>
          <w:lang w:val="sr-Cyrl-RS"/>
        </w:rPr>
        <w:t>СКАС</w:t>
      </w:r>
      <w:r>
        <w:rPr>
          <w:rFonts w:hint="default" w:ascii="Calibri" w:hAnsi="Calibri"/>
          <w:lang w:val="sr-Cyrl-RS"/>
        </w:rPr>
        <w:t xml:space="preserve"> </w:t>
      </w:r>
      <w:r>
        <w:rPr>
          <w:rFonts w:ascii="Calibri" w:hAnsi="Calibri"/>
          <w:lang w:val="sr-Cyrl-CS"/>
        </w:rPr>
        <w:t xml:space="preserve">(Скупштине, управног одбора и надзорног одбора) </w:t>
      </w:r>
      <w:r>
        <w:rPr>
          <w:lang w:val="sr-Cyrl-CS"/>
        </w:rPr>
        <w:t xml:space="preserve">писмено се уобличавају </w:t>
      </w:r>
      <w:r>
        <w:rPr>
          <w:rFonts w:ascii="Calibri" w:hAnsi="Calibri"/>
          <w:lang w:val="sr-Cyrl-CS"/>
        </w:rPr>
        <w:t>на основу записника са седница органа</w:t>
      </w:r>
      <w:r>
        <w:rPr>
          <w:lang w:val="sr-Cyrl-CS"/>
        </w:rPr>
        <w:t xml:space="preserve"> и потписују се од стране председника или </w:t>
      </w:r>
      <w:r>
        <w:rPr>
          <w:rFonts w:ascii="Calibri" w:hAnsi="Calibri"/>
          <w:lang w:val="sr-Cyrl-CS"/>
        </w:rPr>
        <w:t xml:space="preserve">генералног секретара </w:t>
      </w:r>
      <w:r>
        <w:rPr>
          <w:rFonts w:ascii="Calibri"/>
          <w:lang w:val="sr-Cyrl-RS"/>
        </w:rPr>
        <w:t>СКАС</w:t>
      </w:r>
      <w:r>
        <w:rPr>
          <w:rFonts w:ascii="Calibri" w:hAnsi="Calibri"/>
          <w:lang w:val="sr-Cyrl-CS"/>
        </w:rPr>
        <w:t xml:space="preserve">. Одлуке иноскосних органа управљања (председника и  генералног секретара) потписује лице који их је донео. 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4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Књига одлука се састоји од књиге (регистратора) са већим бројем истоветних евиденционих листова, израђених на белој хартији, и збирке одлука. 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На омоту (насловној страни) Књиге чланова налази се знак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 xml:space="preserve">и уписује се текст: „Књига одлука </w:t>
      </w:r>
      <w:r>
        <w:rPr>
          <w:lang w:val="sr-Cyrl-RS"/>
        </w:rPr>
        <w:t>Српског</w:t>
      </w:r>
      <w:r>
        <w:rPr>
          <w:rFonts w:hint="default"/>
          <w:lang w:val="sr-Cyrl-RS"/>
        </w:rPr>
        <w:t xml:space="preserve"> касачког савеза</w:t>
      </w:r>
      <w:r>
        <w:rPr>
          <w:lang w:val="sr-Cyrl-CS"/>
        </w:rPr>
        <w:t xml:space="preserve">". 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Евиденциони листови који су нумерисани бројевима почев од броја 1, а сваки евиденциони лист има пет нумерисаних редова почев од броја 1. </w:t>
      </w:r>
    </w:p>
    <w:p>
      <w:pPr>
        <w:rPr>
          <w:rFonts w:ascii="Calibri" w:hAnsi="Calibri" w:eastAsia="Times New Roman" w:cs="Times New Roman"/>
          <w:lang w:val="sr-Cyrl-CS"/>
        </w:rPr>
      </w:pPr>
      <w:r>
        <w:rPr>
          <w:lang w:val="sr-Cyrl-CS"/>
        </w:rPr>
        <w:t>Образац Књига одлука  је прилог овог Правилника као његов саставни део.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5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Одлуке органа управљања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 </w:t>
      </w:r>
      <w:r>
        <w:rPr>
          <w:lang w:val="sr-Cyrl-CS"/>
        </w:rPr>
        <w:t>уносе се хронолошки тако да  се свака одлука уписује под једним реднм бројем.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6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Евиденционе лист Књиге одлука садржи рубрике у које се уписују: редни број уписа, датум уноса, назив одлуке, назив органа који је донео одлуку, </w:t>
      </w:r>
      <w:r>
        <w:rPr>
          <w:rFonts w:ascii="Calibri" w:hAnsi="Calibri"/>
          <w:lang w:val="sr-Cyrl-CS"/>
        </w:rPr>
        <w:t>датум доношења одлуке,</w:t>
      </w:r>
      <w:r>
        <w:rPr>
          <w:lang w:val="sr-Cyrl-CS"/>
        </w:rPr>
        <w:t xml:space="preserve"> </w:t>
      </w:r>
      <w:r>
        <w:rPr>
          <w:rFonts w:ascii="Calibri" w:hAnsi="Calibri"/>
          <w:lang w:val="sr-Cyrl-CS"/>
        </w:rPr>
        <w:t>заводни број одлуке, датум почетка примене одлуке, потпис лица које је унело податке и које одговара за тачност уноса, напомене.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Сваки евиденциони лист се оверава печатом </w:t>
      </w:r>
      <w:r>
        <w:rPr>
          <w:lang w:val="sr-Cyrl-RS"/>
        </w:rPr>
        <w:t>СКАС</w:t>
      </w:r>
      <w:r>
        <w:rPr>
          <w:lang w:val="sr-Cyrl-CS"/>
        </w:rPr>
        <w:t xml:space="preserve">. 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7</w:t>
      </w:r>
    </w:p>
    <w:p>
      <w:pPr>
        <w:jc w:val="both"/>
        <w:rPr>
          <w:rFonts w:ascii="Calibri" w:hAnsi="Calibri"/>
          <w:lang w:val="sr-Cyrl-CS"/>
        </w:rPr>
      </w:pPr>
      <w:r>
        <w:rPr>
          <w:lang w:val="sr-Cyrl-CS"/>
        </w:rPr>
        <w:t xml:space="preserve">Рубрике у евиденционом листу попуњавају се читко штампаним словима или компјутерским уносом, а уписани текст не сме се исправљати и брисати. </w:t>
      </w:r>
    </w:p>
    <w:p>
      <w:pPr>
        <w:jc w:val="both"/>
        <w:rPr>
          <w:rFonts w:ascii="Calibri" w:hAnsi="Calibri"/>
          <w:lang w:val="sr-Cyrl-CS"/>
        </w:rPr>
      </w:pPr>
      <w:r>
        <w:rPr>
          <w:lang w:val="sr-Cyrl-CS"/>
        </w:rPr>
        <w:t xml:space="preserve">Подаци у Књизи одлука могу се обрађивати и компјутером применом јединствених стандарда. </w:t>
      </w:r>
      <w:r>
        <w:rPr>
          <w:rFonts w:ascii="Calibri" w:hAnsi="Calibri"/>
          <w:lang w:val="sr-Cyrl-CS"/>
        </w:rPr>
        <w:t>У случају неслагања између писаних и компјутерски обрађених података за веродостојне се сматрају писани подаци.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8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Збирка одлука садржи одлуке органа 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>потписане и оверене печатом. Одлуке се одлажу хронолошки, а на одлуке се, пре одлагања у збрирку исправа, ставља редни број уписа у Књигу одлука.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9</w:t>
      </w:r>
    </w:p>
    <w:p>
      <w:pPr>
        <w:jc w:val="both"/>
        <w:rPr>
          <w:rFonts w:ascii="Calibri" w:hAnsi="Calibri"/>
          <w:lang w:val="sr-Cyrl-CS"/>
        </w:rPr>
      </w:pPr>
      <w:r>
        <w:rPr>
          <w:lang w:val="sr-Cyrl-CS"/>
        </w:rPr>
        <w:t xml:space="preserve">Подаци у Књизи одлука морају бити ажурни. Стручна служба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rFonts w:ascii="Calibri" w:hAnsi="Calibri"/>
          <w:lang w:val="sr-Cyrl-CS"/>
        </w:rPr>
        <w:t xml:space="preserve">без одлагања уносе одлуке органа </w:t>
      </w:r>
      <w:r>
        <w:rPr>
          <w:rFonts w:ascii="Calibri" w:hAnsi="Calibri"/>
          <w:lang w:val="sr-Cyrl-RS"/>
        </w:rPr>
        <w:t>СКАС</w:t>
      </w:r>
      <w:r>
        <w:rPr>
          <w:rFonts w:hint="default" w:ascii="Calibri" w:hAnsi="Calibri"/>
          <w:lang w:val="sr-Cyrl-RS"/>
        </w:rPr>
        <w:t xml:space="preserve"> </w:t>
      </w:r>
      <w:r>
        <w:rPr>
          <w:rFonts w:ascii="Calibri" w:hAnsi="Calibri"/>
          <w:lang w:val="sr-Cyrl-CS"/>
        </w:rPr>
        <w:t>у Књигу одлука.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  <w:lang w:val="ru-RU"/>
        </w:rPr>
        <w:instrText xml:space="preserve"> </w:instrText>
      </w:r>
      <w:r>
        <w:rPr>
          <w:rFonts w:asciiTheme="minorHAnsi" w:hAnsiTheme="minorHAnsi"/>
          <w:sz w:val="22"/>
        </w:rPr>
        <w:instrText xml:space="preserve">AUTONUM</w:instrText>
      </w:r>
      <w:r>
        <w:rPr>
          <w:rFonts w:asciiTheme="minorHAnsi" w:hAnsiTheme="minorHAnsi"/>
          <w:sz w:val="22"/>
          <w:lang w:val="ru-RU"/>
        </w:rPr>
        <w:instrText xml:space="preserve">   </w:instrText>
      </w:r>
      <w:r>
        <w:rPr>
          <w:rFonts w:asciiTheme="minorHAnsi" w:hAnsiTheme="minorHAnsi"/>
          <w:sz w:val="22"/>
        </w:rPr>
        <w:fldChar w:fldCharType="end"/>
      </w:r>
      <w:r>
        <w:rPr>
          <w:rFonts w:hint="default" w:asciiTheme="minorHAnsi" w:hAnsiTheme="minorHAnsi"/>
          <w:sz w:val="22"/>
          <w:lang w:val="sr-Latn-BA"/>
        </w:rPr>
        <w:t>0</w:t>
      </w:r>
    </w:p>
    <w:p>
      <w:pPr>
        <w:jc w:val="both"/>
        <w:rPr>
          <w:rFonts w:ascii="Calibri" w:hAnsi="Calibri"/>
          <w:lang w:val="sr-Cyrl-CS"/>
        </w:rPr>
      </w:pPr>
      <w:r>
        <w:rPr>
          <w:lang w:val="sr-Cyrl-CS"/>
        </w:rPr>
        <w:t xml:space="preserve">Извори података за Књигу чланова су писане одлуке органа управљања </w:t>
      </w:r>
      <w:r>
        <w:rPr>
          <w:lang w:val="sr-Cyrl-RS"/>
        </w:rPr>
        <w:t>СКАС</w:t>
      </w:r>
      <w:r>
        <w:rPr>
          <w:lang w:val="sr-Cyrl-CS"/>
        </w:rPr>
        <w:t>.</w:t>
      </w:r>
      <w:r>
        <w:rPr>
          <w:rFonts w:ascii="Calibri" w:hAnsi="Calibri"/>
          <w:lang w:val="sr-Cyrl-CS"/>
        </w:rPr>
        <w:t xml:space="preserve"> 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Све одлуке органа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 xml:space="preserve">достављају се генералном секретару и стручној служби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 xml:space="preserve">у року од 2 дана од дана доношења. 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Председавајући органа управљања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 xml:space="preserve">одговоран је за благовремено достављања одлука или записника који садржи одлуке  ради њихове израде и евиденције. 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11</w:t>
      </w:r>
    </w:p>
    <w:p>
      <w:pPr>
        <w:rPr>
          <w:lang w:val="sr-Cyrl-CS"/>
        </w:rPr>
      </w:pPr>
      <w:r>
        <w:rPr>
          <w:lang w:val="sr-Cyrl-CS"/>
        </w:rPr>
        <w:t xml:space="preserve">Подаци уписани у Књигу одлука су јавни.  Сваки члан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>има право увида у Књигу одлука.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Стручна служба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 xml:space="preserve">омогућује увид у Књигу одлука и издаје изводе из одлука и копије одлука органа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 xml:space="preserve">на захтев члана </w:t>
      </w:r>
      <w:r>
        <w:rPr>
          <w:lang w:val="sr-Cyrl-RS"/>
        </w:rPr>
        <w:t>СКАС</w:t>
      </w:r>
      <w:r>
        <w:rPr>
          <w:lang w:val="sr-Cyrl-CS"/>
        </w:rPr>
        <w:t>.  Изводи и копије одлука се издају на писмени захтев у року од 3 дана од дана пријема захтева.</w:t>
      </w:r>
    </w:p>
    <w:p>
      <w:pPr>
        <w:jc w:val="both"/>
        <w:rPr>
          <w:lang w:val="sr-Cyrl-CS"/>
        </w:rPr>
      </w:pP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>је одговорна за истоветност података које издаје, са подацима из  Књиге одлука и збирке исправа.</w:t>
      </w:r>
    </w:p>
    <w:p>
      <w:pPr>
        <w:pStyle w:val="14"/>
        <w:ind w:left="0"/>
        <w:jc w:val="center"/>
        <w:outlineLvl w:val="0"/>
        <w:rPr>
          <w:rFonts w:asciiTheme="minorHAnsi" w:hAnsiTheme="minorHAnsi"/>
          <w:sz w:val="22"/>
          <w:lang w:val="sr-Cyrl-CS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1</w:t>
      </w:r>
      <w:r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  <w:lang w:val="ru-RU"/>
        </w:rPr>
        <w:instrText xml:space="preserve"> </w:instrText>
      </w:r>
      <w:r>
        <w:rPr>
          <w:rFonts w:asciiTheme="minorHAnsi" w:hAnsiTheme="minorHAnsi"/>
          <w:sz w:val="22"/>
        </w:rPr>
        <w:instrText xml:space="preserve">AUTONUM</w:instrText>
      </w:r>
      <w:r>
        <w:rPr>
          <w:rFonts w:asciiTheme="minorHAnsi" w:hAnsiTheme="minorHAnsi"/>
          <w:sz w:val="22"/>
          <w:lang w:val="ru-RU"/>
        </w:rPr>
        <w:instrText xml:space="preserve">   </w:instrText>
      </w:r>
      <w:r>
        <w:rPr>
          <w:rFonts w:asciiTheme="minorHAnsi" w:hAnsiTheme="minorHAnsi"/>
          <w:sz w:val="22"/>
        </w:rPr>
        <w:fldChar w:fldCharType="end"/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Уколико је одлука органа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 xml:space="preserve">поништена или укинута, у Књигу одлука се ставља напомена у рубрици уписа поништене или укинуте одлуке са назнаком датума и разлога укидања одлуке. Уколико се након поништења или укидања одлуке доноси нова одлука у истој ствари, таква се одлука уписује под новим редним бројем, а у напомену се ставља редни број одлуке коју замењује. 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13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3а ажурно и тачно вођење Књиге одлуке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 xml:space="preserve">и истоветност издатих извода из књиге, одговара генерални секретар  </w:t>
      </w:r>
      <w:r>
        <w:rPr>
          <w:lang w:val="sr-Cyrl-RS"/>
        </w:rPr>
        <w:t>СКАС</w:t>
      </w:r>
      <w:r>
        <w:rPr>
          <w:lang w:val="sr-Cyrl-CS"/>
        </w:rPr>
        <w:t>.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Генерални секретар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 xml:space="preserve">одређује лице у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 xml:space="preserve">које је овлашћено за унос података у Књигу одлука. 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14</w:t>
      </w:r>
    </w:p>
    <w:p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За истинитост записника и одлука коју достављају органи </w:t>
      </w:r>
      <w:r>
        <w:rPr>
          <w:rFonts w:ascii="Calibri" w:hAnsi="Calibri"/>
          <w:lang w:val="sr-Cyrl-RS"/>
        </w:rPr>
        <w:t>СКАС</w:t>
      </w:r>
      <w:r>
        <w:rPr>
          <w:rFonts w:hint="default" w:ascii="Calibri" w:hAnsi="Calibri"/>
          <w:lang w:val="sr-Cyrl-RS"/>
        </w:rPr>
        <w:t xml:space="preserve"> </w:t>
      </w:r>
      <w:r>
        <w:rPr>
          <w:rFonts w:ascii="Calibri" w:hAnsi="Calibri"/>
          <w:lang w:val="sr-Cyrl-CS"/>
        </w:rPr>
        <w:t xml:space="preserve">одговара председавајући седнице органа који их је донео. </w:t>
      </w:r>
    </w:p>
    <w:p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Недостављање одлука органа </w:t>
      </w:r>
      <w:r>
        <w:rPr>
          <w:rFonts w:ascii="Calibri" w:hAnsi="Calibri"/>
          <w:lang w:val="sr-Cyrl-RS"/>
        </w:rPr>
        <w:t>СКАС</w:t>
      </w:r>
      <w:r>
        <w:rPr>
          <w:rFonts w:hint="default" w:ascii="Calibri" w:hAnsi="Calibri"/>
          <w:lang w:val="sr-Cyrl-RS"/>
        </w:rPr>
        <w:t xml:space="preserve"> </w:t>
      </w:r>
      <w:r>
        <w:rPr>
          <w:rFonts w:ascii="Calibri" w:hAnsi="Calibri"/>
          <w:lang w:val="sr-Cyrl-CS"/>
        </w:rPr>
        <w:t xml:space="preserve">је дисциплински прекршај, а достављање нетачних одлука представља тежи дисциплински прекршај за који се изриче мера разрешења члана органа управе који је знао или морао знати да су нетачне. </w:t>
      </w:r>
    </w:p>
    <w:p>
      <w:pPr>
        <w:pStyle w:val="14"/>
        <w:ind w:left="0"/>
        <w:jc w:val="center"/>
        <w:outlineLvl w:val="0"/>
        <w:rPr>
          <w:rFonts w:hint="default"/>
          <w:sz w:val="22"/>
          <w:lang w:val="sr-Latn-BA"/>
        </w:rPr>
      </w:pPr>
      <w:r>
        <w:rPr>
          <w:sz w:val="22"/>
          <w:lang w:val="ru-RU"/>
        </w:rPr>
        <w:t xml:space="preserve">Члан </w:t>
      </w:r>
      <w:r>
        <w:rPr>
          <w:rFonts w:hint="default"/>
          <w:sz w:val="22"/>
          <w:lang w:val="sr-Latn-BA"/>
        </w:rPr>
        <w:t>15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Све спорове у вези са Књигом одлука у решава генерални секретар </w:t>
      </w:r>
      <w:r>
        <w:rPr>
          <w:lang w:val="sr-Cyrl-RS"/>
        </w:rPr>
        <w:t>СКАС</w:t>
      </w:r>
      <w:r>
        <w:rPr>
          <w:lang w:val="sr-Cyrl-CS"/>
        </w:rPr>
        <w:t xml:space="preserve">. На одлуке о спорним питањима  може се поднети жалба управном одбору </w:t>
      </w:r>
      <w:r>
        <w:rPr>
          <w:lang w:val="sr-Cyrl-RS"/>
        </w:rPr>
        <w:t>СКАС</w:t>
      </w:r>
      <w:r>
        <w:rPr>
          <w:rFonts w:hint="default"/>
          <w:lang w:val="sr-Cyrl-RS"/>
        </w:rPr>
        <w:t xml:space="preserve"> </w:t>
      </w:r>
      <w:r>
        <w:rPr>
          <w:lang w:val="sr-Cyrl-CS"/>
        </w:rPr>
        <w:t>у року од 7 дана од дана  достављања одлуке. Одлука управног одбора је коначна.</w:t>
      </w:r>
    </w:p>
    <w:p>
      <w:pPr>
        <w:pStyle w:val="14"/>
        <w:ind w:left="0"/>
        <w:jc w:val="center"/>
        <w:outlineLvl w:val="0"/>
        <w:rPr>
          <w:rFonts w:hint="default"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  <w:lang w:val="ru-RU"/>
        </w:rPr>
        <w:t xml:space="preserve">Члан </w:t>
      </w:r>
      <w:r>
        <w:rPr>
          <w:rFonts w:hint="default" w:asciiTheme="minorHAnsi" w:hAnsiTheme="minorHAnsi"/>
          <w:sz w:val="22"/>
          <w:lang w:val="sr-Latn-BA"/>
        </w:rPr>
        <w:t>16</w:t>
      </w:r>
    </w:p>
    <w:p>
      <w:pPr>
        <w:jc w:val="both"/>
        <w:rPr>
          <w:lang w:val="sr-Cyrl-CS"/>
        </w:rPr>
      </w:pPr>
      <w:r>
        <w:rPr>
          <w:lang w:val="sr-Cyrl-CS"/>
        </w:rPr>
        <w:t>Даном ступања на снагу овог Правилника отвара се нова Књига одлука.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Овај Правилник ступа на снагу осмог дана од дана објављивања на огласној табли </w:t>
      </w:r>
      <w:r>
        <w:rPr>
          <w:lang w:val="sr-Cyrl-RS"/>
        </w:rPr>
        <w:t>СКАС</w:t>
      </w:r>
      <w:r>
        <w:rPr>
          <w:lang w:val="sr-Cyrl-CS"/>
        </w:rPr>
        <w:t>.</w:t>
      </w:r>
    </w:p>
    <w:p>
      <w:pPr>
        <w:ind w:firstLine="5060"/>
        <w:jc w:val="both"/>
        <w:rPr>
          <w:rFonts w:ascii="Calibri" w:hAnsi="Calibri"/>
          <w:lang w:val="sr-Cyrl-CS"/>
        </w:rPr>
      </w:pPr>
    </w:p>
    <w:p>
      <w:pPr>
        <w:ind w:left="5040" w:leftChars="0" w:firstLine="720" w:firstLineChars="0"/>
        <w:rPr>
          <w:lang w:val="sr-Cyrl-RS"/>
        </w:rPr>
      </w:pPr>
      <w:r>
        <w:rPr>
          <w:lang w:val="sr-Cyrl-CS"/>
        </w:rPr>
        <w:t xml:space="preserve">Председник </w:t>
      </w:r>
      <w:r>
        <w:rPr>
          <w:rFonts w:hint="default"/>
          <w:lang w:val="sr-Cyrl-RS"/>
        </w:rPr>
        <w:t>У</w:t>
      </w:r>
      <w:r>
        <w:rPr>
          <w:lang w:val="sr-Cyrl-CS"/>
        </w:rPr>
        <w:t xml:space="preserve">правног одбора </w:t>
      </w:r>
      <w:r>
        <w:rPr>
          <w:lang w:val="sr-Cyrl-RS"/>
        </w:rPr>
        <w:t>СКАС</w:t>
      </w:r>
    </w:p>
    <w:p>
      <w:pPr>
        <w:ind w:left="5040" w:leftChars="0" w:firstLine="720" w:firstLineChars="0"/>
        <w:rPr>
          <w:lang w:val="sr-Cyrl-RS"/>
        </w:rPr>
      </w:pPr>
    </w:p>
    <w:p>
      <w:pPr>
        <w:ind w:left="5040" w:leftChars="0" w:firstLine="720" w:firstLineChars="0"/>
        <w:rPr>
          <w:rFonts w:hint="default"/>
          <w:lang w:val="sr-Cyrl-RS"/>
        </w:rPr>
        <w:sectPr>
          <w:footerReference r:id="rId5" w:type="default"/>
          <w:pgSz w:w="11907" w:h="16840"/>
          <w:pgMar w:top="1191" w:right="1134" w:bottom="1191" w:left="1134" w:header="720" w:footer="454" w:gutter="0"/>
          <w:cols w:space="708" w:num="1"/>
          <w:titlePg/>
          <w:docGrid w:linePitch="326" w:charSpace="0"/>
        </w:sectPr>
      </w:pPr>
      <w:r>
        <w:rPr>
          <w:rFonts w:hint="default"/>
          <w:lang w:val="sr-Cyrl-RS"/>
        </w:rPr>
        <w:t>Бранислав Јокић</w:t>
      </w:r>
    </w:p>
    <w:p>
      <w:pPr>
        <w:jc w:val="center"/>
        <w:rPr>
          <w:b/>
          <w:i/>
          <w:lang w:val="sr-Cyrl-CS"/>
        </w:rPr>
      </w:pPr>
      <w:r>
        <w:rPr>
          <w:lang w:val="sr-Cyrl-RS"/>
        </w:rPr>
        <w:t>Евиденциони</w:t>
      </w:r>
      <w:r>
        <w:rPr>
          <w:rFonts w:hint="default"/>
          <w:lang w:val="sr-Cyrl-RS"/>
        </w:rPr>
        <w:t xml:space="preserve"> лист бр. 1</w:t>
      </w:r>
    </w:p>
    <w:tbl>
      <w:tblPr>
        <w:tblStyle w:val="22"/>
        <w:tblW w:w="16060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26"/>
        <w:gridCol w:w="2970"/>
        <w:gridCol w:w="1870"/>
        <w:gridCol w:w="1760"/>
        <w:gridCol w:w="1320"/>
        <w:gridCol w:w="1760"/>
        <w:gridCol w:w="1980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6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Ред. бр.</w:t>
            </w:r>
          </w:p>
        </w:tc>
        <w:tc>
          <w:tcPr>
            <w:tcW w:w="122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Датум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уноса</w:t>
            </w: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ОДЛУКА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(назив одлуке или другог акта)</w:t>
            </w:r>
          </w:p>
        </w:tc>
        <w:tc>
          <w:tcPr>
            <w:tcW w:w="18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Назив органа који је донео одлуку</w:t>
            </w: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Датум доношења одлуке</w:t>
            </w:r>
          </w:p>
        </w:tc>
        <w:tc>
          <w:tcPr>
            <w:tcW w:w="132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Заводни број одлуке</w:t>
            </w: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Датум почетка примене одлуке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Потпис – овера тачности података</w:t>
            </w:r>
          </w:p>
        </w:tc>
        <w:tc>
          <w:tcPr>
            <w:tcW w:w="2514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Напомена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6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1.</w:t>
            </w:r>
          </w:p>
        </w:tc>
        <w:tc>
          <w:tcPr>
            <w:tcW w:w="122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6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2.</w:t>
            </w:r>
          </w:p>
        </w:tc>
        <w:tc>
          <w:tcPr>
            <w:tcW w:w="122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6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3.</w:t>
            </w:r>
          </w:p>
        </w:tc>
        <w:tc>
          <w:tcPr>
            <w:tcW w:w="122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6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4.</w:t>
            </w:r>
          </w:p>
        </w:tc>
        <w:tc>
          <w:tcPr>
            <w:tcW w:w="122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6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  <w:r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  <w:t>5.</w:t>
            </w:r>
          </w:p>
        </w:tc>
        <w:tc>
          <w:tcPr>
            <w:tcW w:w="1226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0"/>
                <w:szCs w:val="20"/>
                <w:lang w:val="sr-Cyrl-CS" w:bidi="ar-SA"/>
              </w:rPr>
            </w:pPr>
          </w:p>
        </w:tc>
      </w:tr>
    </w:tbl>
    <w:p>
      <w:pPr>
        <w:rPr>
          <w:rFonts w:hint="default"/>
          <w:lang w:val="sr-Cyrl-RS"/>
        </w:rPr>
      </w:pP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ab/>
      </w:r>
    </w:p>
    <w:p>
      <w:pPr>
        <w:ind w:left="2160" w:leftChars="0" w:firstLine="720" w:firstLineChars="0"/>
        <w:rPr>
          <w:rFonts w:hint="default"/>
          <w:lang w:val="sr-Cyrl-CS"/>
        </w:rPr>
      </w:pPr>
      <w:r>
        <w:rPr>
          <w:rFonts w:hint="default"/>
          <w:lang w:val="sr-Cyrl-RS"/>
        </w:rPr>
        <w:t>М.П.</w:t>
      </w: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 xml:space="preserve">       _____________________________________________</w:t>
      </w:r>
    </w:p>
    <w:sectPr>
      <w:pgSz w:w="16840" w:h="11907" w:orient="landscape"/>
      <w:pgMar w:top="1134" w:right="1191" w:bottom="1134" w:left="1191" w:header="720" w:footer="454" w:gutter="0"/>
      <w:cols w:space="708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405584"/>
      <w:docPartObj>
        <w:docPartGallery w:val="autotext"/>
      </w:docPartObj>
    </w:sdtPr>
    <w:sdtContent>
      <w:p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0C71"/>
    <w:rsid w:val="0003411B"/>
    <w:rsid w:val="000400D4"/>
    <w:rsid w:val="000D2B4B"/>
    <w:rsid w:val="000E3615"/>
    <w:rsid w:val="000E5F25"/>
    <w:rsid w:val="000E7CA9"/>
    <w:rsid w:val="001053CD"/>
    <w:rsid w:val="00131D68"/>
    <w:rsid w:val="00145945"/>
    <w:rsid w:val="00157150"/>
    <w:rsid w:val="00180B36"/>
    <w:rsid w:val="00184FDE"/>
    <w:rsid w:val="001D43B4"/>
    <w:rsid w:val="00241981"/>
    <w:rsid w:val="002A4820"/>
    <w:rsid w:val="00306645"/>
    <w:rsid w:val="00326EC2"/>
    <w:rsid w:val="003A5F1C"/>
    <w:rsid w:val="0043031A"/>
    <w:rsid w:val="00440D95"/>
    <w:rsid w:val="004416AF"/>
    <w:rsid w:val="00470DD2"/>
    <w:rsid w:val="004729CA"/>
    <w:rsid w:val="00483C8C"/>
    <w:rsid w:val="004A5277"/>
    <w:rsid w:val="004B2F7D"/>
    <w:rsid w:val="004E2EFC"/>
    <w:rsid w:val="004E5413"/>
    <w:rsid w:val="00510AE3"/>
    <w:rsid w:val="00526864"/>
    <w:rsid w:val="00533956"/>
    <w:rsid w:val="005612FF"/>
    <w:rsid w:val="0057265F"/>
    <w:rsid w:val="00591C57"/>
    <w:rsid w:val="005A0C71"/>
    <w:rsid w:val="005A11B5"/>
    <w:rsid w:val="005A21C6"/>
    <w:rsid w:val="005E0634"/>
    <w:rsid w:val="005F2CD1"/>
    <w:rsid w:val="00606365"/>
    <w:rsid w:val="00654DB0"/>
    <w:rsid w:val="00680889"/>
    <w:rsid w:val="006B1D58"/>
    <w:rsid w:val="007452B5"/>
    <w:rsid w:val="00754997"/>
    <w:rsid w:val="007D1640"/>
    <w:rsid w:val="008035EB"/>
    <w:rsid w:val="00805EE5"/>
    <w:rsid w:val="008809F5"/>
    <w:rsid w:val="00884725"/>
    <w:rsid w:val="008F4177"/>
    <w:rsid w:val="00931AB9"/>
    <w:rsid w:val="009455ED"/>
    <w:rsid w:val="00994524"/>
    <w:rsid w:val="009A0D4A"/>
    <w:rsid w:val="00A54824"/>
    <w:rsid w:val="00A55227"/>
    <w:rsid w:val="00A73894"/>
    <w:rsid w:val="00AB10BB"/>
    <w:rsid w:val="00AE0105"/>
    <w:rsid w:val="00B33C17"/>
    <w:rsid w:val="00B62622"/>
    <w:rsid w:val="00B80994"/>
    <w:rsid w:val="00B8408F"/>
    <w:rsid w:val="00BC1C0F"/>
    <w:rsid w:val="00C12193"/>
    <w:rsid w:val="00C56E7B"/>
    <w:rsid w:val="00C929C0"/>
    <w:rsid w:val="00CA009B"/>
    <w:rsid w:val="00CA6B57"/>
    <w:rsid w:val="00CD717F"/>
    <w:rsid w:val="00CE2725"/>
    <w:rsid w:val="00D2257B"/>
    <w:rsid w:val="00D32ACC"/>
    <w:rsid w:val="00DB3569"/>
    <w:rsid w:val="00DD375C"/>
    <w:rsid w:val="00DE05A8"/>
    <w:rsid w:val="00E04667"/>
    <w:rsid w:val="00E361D7"/>
    <w:rsid w:val="00E37E06"/>
    <w:rsid w:val="00E50417"/>
    <w:rsid w:val="00EA2F40"/>
    <w:rsid w:val="00EB7D49"/>
    <w:rsid w:val="00F33CC9"/>
    <w:rsid w:val="00F42FA0"/>
    <w:rsid w:val="00F433F5"/>
    <w:rsid w:val="00F66DA6"/>
    <w:rsid w:val="00F7015B"/>
    <w:rsid w:val="00F81B1C"/>
    <w:rsid w:val="00FD4C86"/>
    <w:rsid w:val="00FE5D6B"/>
    <w:rsid w:val="00FF1F31"/>
    <w:rsid w:val="00FF1FE1"/>
    <w:rsid w:val="00FF7A2B"/>
    <w:rsid w:val="0BDD7EBA"/>
    <w:rsid w:val="33F06423"/>
    <w:rsid w:val="3959256F"/>
    <w:rsid w:val="3A3D2F87"/>
    <w:rsid w:val="3FD658A1"/>
    <w:rsid w:val="4EAC490A"/>
    <w:rsid w:val="5DED7C6E"/>
    <w:rsid w:val="61530E0F"/>
    <w:rsid w:val="7231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8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Body Text Indent"/>
    <w:basedOn w:val="1"/>
    <w:link w:val="26"/>
    <w:qFormat/>
    <w:uiPriority w:val="0"/>
    <w:pPr>
      <w:keepNext/>
      <w:spacing w:before="320" w:line="240" w:lineRule="auto"/>
      <w:ind w:left="284"/>
      <w:jc w:val="both"/>
    </w:pPr>
    <w:rPr>
      <w:rFonts w:ascii="Calibri" w:hAnsi="Calibri" w:eastAsia="Times New Roman" w:cs="Times New Roman"/>
      <w:b/>
      <w:sz w:val="24"/>
      <w:szCs w:val="24"/>
    </w:rPr>
  </w:style>
  <w:style w:type="paragraph" w:styleId="15">
    <w:name w:val="Document Map"/>
    <w:basedOn w:val="1"/>
    <w:link w:val="2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6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paragraph" w:styleId="17">
    <w:name w:val="footer"/>
    <w:basedOn w:val="1"/>
    <w:link w:val="51"/>
    <w:unhideWhenUsed/>
    <w:qFormat/>
    <w:uiPriority w:val="99"/>
    <w:pPr>
      <w:tabs>
        <w:tab w:val="center" w:pos="4702"/>
        <w:tab w:val="right" w:pos="9405"/>
      </w:tabs>
      <w:spacing w:after="0" w:line="240" w:lineRule="auto"/>
    </w:pPr>
  </w:style>
  <w:style w:type="paragraph" w:styleId="18">
    <w:name w:val="header"/>
    <w:basedOn w:val="1"/>
    <w:link w:val="50"/>
    <w:semiHidden/>
    <w:unhideWhenUsed/>
    <w:qFormat/>
    <w:uiPriority w:val="99"/>
    <w:pPr>
      <w:tabs>
        <w:tab w:val="center" w:pos="4702"/>
        <w:tab w:val="right" w:pos="9405"/>
      </w:tabs>
      <w:spacing w:after="0" w:line="240" w:lineRule="auto"/>
    </w:p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20">
    <w:name w:val="Strong"/>
    <w:qFormat/>
    <w:uiPriority w:val="22"/>
    <w:rPr>
      <w:b/>
      <w:bCs/>
    </w:rPr>
  </w:style>
  <w:style w:type="paragraph" w:styleId="21">
    <w:name w:val="Subtitle"/>
    <w:basedOn w:val="1"/>
    <w:next w:val="1"/>
    <w:link w:val="37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table" w:styleId="22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itle"/>
    <w:basedOn w:val="1"/>
    <w:next w:val="1"/>
    <w:link w:val="27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24">
    <w:name w:val="Document Map Char"/>
    <w:basedOn w:val="11"/>
    <w:link w:val="15"/>
    <w:semiHidden/>
    <w:qFormat/>
    <w:uiPriority w:val="99"/>
    <w:rPr>
      <w:rFonts w:ascii="Tahoma" w:hAnsi="Tahoma" w:cs="Tahoma"/>
      <w:sz w:val="16"/>
      <w:szCs w:val="16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Body Text Indent Char"/>
    <w:basedOn w:val="11"/>
    <w:link w:val="14"/>
    <w:qFormat/>
    <w:uiPriority w:val="0"/>
    <w:rPr>
      <w:rFonts w:ascii="Calibri" w:hAnsi="Calibri" w:eastAsia="Times New Roman" w:cs="Times New Roman"/>
      <w:b/>
      <w:sz w:val="24"/>
      <w:szCs w:val="24"/>
      <w:lang w:bidi="en-US"/>
    </w:rPr>
  </w:style>
  <w:style w:type="character" w:customStyle="1" w:styleId="27">
    <w:name w:val="Title Char"/>
    <w:basedOn w:val="11"/>
    <w:link w:val="23"/>
    <w:qFormat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2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3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31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32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character" w:customStyle="1" w:styleId="33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character" w:customStyle="1" w:styleId="34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35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36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37">
    <w:name w:val="Subtitle Char"/>
    <w:basedOn w:val="11"/>
    <w:link w:val="21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38">
    <w:name w:val="No Spacing"/>
    <w:basedOn w:val="1"/>
    <w:qFormat/>
    <w:uiPriority w:val="1"/>
    <w:pPr>
      <w:spacing w:after="0" w:line="240" w:lineRule="auto"/>
    </w:pPr>
  </w:style>
  <w:style w:type="paragraph" w:styleId="39">
    <w:name w:val="Quote"/>
    <w:basedOn w:val="1"/>
    <w:next w:val="1"/>
    <w:link w:val="40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40">
    <w:name w:val="Quote Char"/>
    <w:basedOn w:val="11"/>
    <w:link w:val="39"/>
    <w:uiPriority w:val="29"/>
    <w:rPr>
      <w:i/>
      <w:iCs/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42">
    <w:name w:val="Intense Quote Char"/>
    <w:basedOn w:val="11"/>
    <w:link w:val="41"/>
    <w:uiPriority w:val="30"/>
    <w:rPr>
      <w:b/>
      <w:bCs/>
      <w:i/>
      <w:iCs/>
    </w:rPr>
  </w:style>
  <w:style w:type="character" w:customStyle="1" w:styleId="43">
    <w:name w:val="Subtle Emphasis"/>
    <w:qFormat/>
    <w:uiPriority w:val="19"/>
    <w:rPr>
      <w:i/>
      <w:iCs/>
    </w:rPr>
  </w:style>
  <w:style w:type="character" w:customStyle="1" w:styleId="44">
    <w:name w:val="Intense Emphasis"/>
    <w:qFormat/>
    <w:uiPriority w:val="21"/>
    <w:rPr>
      <w:b/>
      <w:bCs/>
    </w:rPr>
  </w:style>
  <w:style w:type="character" w:customStyle="1" w:styleId="45">
    <w:name w:val="Subtle Reference"/>
    <w:qFormat/>
    <w:uiPriority w:val="31"/>
    <w:rPr>
      <w:smallCaps/>
    </w:rPr>
  </w:style>
  <w:style w:type="character" w:customStyle="1" w:styleId="46">
    <w:name w:val="Intense Reference"/>
    <w:qFormat/>
    <w:uiPriority w:val="32"/>
    <w:rPr>
      <w:smallCaps/>
      <w:spacing w:val="5"/>
      <w:u w:val="single"/>
    </w:rPr>
  </w:style>
  <w:style w:type="character" w:customStyle="1" w:styleId="47">
    <w:name w:val="Book Title"/>
    <w:qFormat/>
    <w:uiPriority w:val="33"/>
    <w:rPr>
      <w:i/>
      <w:iCs/>
      <w:smallCaps/>
      <w:spacing w:val="5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apple-converted-space"/>
    <w:basedOn w:val="11"/>
    <w:uiPriority w:val="0"/>
  </w:style>
  <w:style w:type="character" w:customStyle="1" w:styleId="50">
    <w:name w:val="Header Char"/>
    <w:basedOn w:val="11"/>
    <w:link w:val="18"/>
    <w:semiHidden/>
    <w:qFormat/>
    <w:uiPriority w:val="99"/>
  </w:style>
  <w:style w:type="character" w:customStyle="1" w:styleId="51">
    <w:name w:val="Footer Char"/>
    <w:basedOn w:val="11"/>
    <w:link w:val="17"/>
    <w:uiPriority w:val="99"/>
  </w:style>
  <w:style w:type="character" w:customStyle="1" w:styleId="52">
    <w:name w:val="Balloon Text Char"/>
    <w:basedOn w:val="11"/>
    <w:link w:val="1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881</Words>
  <Characters>5023</Characters>
  <Lines>41</Lines>
  <Paragraphs>11</Paragraphs>
  <TotalTime>0</TotalTime>
  <ScaleCrop>false</ScaleCrop>
  <LinksUpToDate>false</LinksUpToDate>
  <CharactersWithSpaces>5893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2012-01-21T15:37:00Z</dcterms:created>
  <dc:creator>Srdjan Boskovic</dc:creator>
  <cp:lastModifiedBy>Danica Kolar</cp:lastModifiedBy>
  <cp:lastPrinted>2023-03-30T07:19:00Z</cp:lastPrinted>
  <dcterms:modified xsi:type="dcterms:W3CDTF">2023-04-21T05:23:36Z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A189111917D8458DBD8EF8B76F9E5EC4</vt:lpwstr>
  </property>
</Properties>
</file>